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87" w:rsidRPr="005F3171" w:rsidRDefault="00ED5387" w:rsidP="00ED5387">
      <w:pPr>
        <w:spacing w:line="240" w:lineRule="exact"/>
        <w:jc w:val="both"/>
        <w:rPr>
          <w:sz w:val="27"/>
          <w:szCs w:val="27"/>
        </w:rPr>
      </w:pPr>
      <w:r w:rsidRPr="005F3171">
        <w:rPr>
          <w:sz w:val="27"/>
          <w:szCs w:val="27"/>
        </w:rPr>
        <w:tab/>
      </w:r>
    </w:p>
    <w:p w:rsidR="00B84B2D" w:rsidRDefault="00B84B2D" w:rsidP="00B84B2D">
      <w:pPr>
        <w:ind w:firstLine="709"/>
        <w:jc w:val="both"/>
        <w:rPr>
          <w:szCs w:val="24"/>
        </w:rPr>
      </w:pPr>
      <w:r w:rsidRPr="00B84B2D">
        <w:rPr>
          <w:szCs w:val="24"/>
        </w:rPr>
        <w:t xml:space="preserve">Согласно решению Коллегии Евразийской экономической комиссии от 15.11.2022 </w:t>
      </w:r>
      <w:r w:rsidR="002915CA">
        <w:rPr>
          <w:szCs w:val="24"/>
        </w:rPr>
        <w:t>№</w:t>
      </w:r>
      <w:r w:rsidRPr="00B84B2D">
        <w:rPr>
          <w:szCs w:val="24"/>
        </w:rPr>
        <w:t xml:space="preserve"> 172</w:t>
      </w:r>
      <w:r w:rsidR="002915CA">
        <w:rPr>
          <w:szCs w:val="24"/>
        </w:rPr>
        <w:t xml:space="preserve"> «</w:t>
      </w:r>
      <w:r w:rsidRPr="00B84B2D">
        <w:rPr>
          <w:szCs w:val="24"/>
        </w:rPr>
        <w:t>О Порядке 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- членов Евразийского экономического союза</w:t>
      </w:r>
      <w:r w:rsidR="002915CA">
        <w:rPr>
          <w:szCs w:val="24"/>
        </w:rPr>
        <w:t>»</w:t>
      </w:r>
      <w:r w:rsidRPr="00B84B2D">
        <w:rPr>
          <w:szCs w:val="24"/>
        </w:rPr>
        <w:t xml:space="preserve">, </w:t>
      </w:r>
      <w:r w:rsidRPr="00B84B2D">
        <w:rPr>
          <w:bCs/>
          <w:szCs w:val="24"/>
        </w:rPr>
        <w:t>актуализирован порядок 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- членов ЕАЭС</w:t>
      </w:r>
      <w:r w:rsidRPr="00B84B2D">
        <w:rPr>
          <w:szCs w:val="24"/>
        </w:rPr>
        <w:t>.</w:t>
      </w:r>
    </w:p>
    <w:p w:rsidR="00B84B2D" w:rsidRPr="00B84B2D" w:rsidRDefault="00B84B2D" w:rsidP="00B84B2D">
      <w:pPr>
        <w:ind w:firstLine="709"/>
        <w:jc w:val="both"/>
        <w:rPr>
          <w:szCs w:val="24"/>
        </w:rPr>
      </w:pPr>
      <w:r w:rsidRPr="00B84B2D">
        <w:rPr>
          <w:szCs w:val="24"/>
        </w:rPr>
        <w:t xml:space="preserve">Порядок определяет состав информации, сроки ее направления, участников и правила информационного взаимодействия в целях публикации информации на официальном сайте ЕАЭС. </w:t>
      </w:r>
    </w:p>
    <w:p w:rsidR="00B84B2D" w:rsidRPr="00B84B2D" w:rsidRDefault="00B84B2D" w:rsidP="00B84B2D">
      <w:pPr>
        <w:ind w:firstLine="709"/>
        <w:jc w:val="both"/>
        <w:rPr>
          <w:szCs w:val="24"/>
        </w:rPr>
      </w:pPr>
      <w:r w:rsidRPr="00B84B2D">
        <w:rPr>
          <w:szCs w:val="24"/>
        </w:rPr>
        <w:t xml:space="preserve">Признается утратившим силу, в числе прочего, Решение Комиссии Таможенного союза от 18 июня 2010 г. </w:t>
      </w:r>
      <w:r w:rsidR="002915CA">
        <w:rPr>
          <w:szCs w:val="24"/>
        </w:rPr>
        <w:t>№</w:t>
      </w:r>
      <w:r w:rsidRPr="00B84B2D">
        <w:rPr>
          <w:szCs w:val="24"/>
        </w:rPr>
        <w:t xml:space="preserve"> 297 </w:t>
      </w:r>
      <w:r w:rsidR="002915CA">
        <w:rPr>
          <w:szCs w:val="24"/>
        </w:rPr>
        <w:t>«</w:t>
      </w:r>
      <w:r w:rsidRPr="00B84B2D">
        <w:rPr>
          <w:szCs w:val="24"/>
        </w:rPr>
        <w:t>О документах, регулирующих порядок формирования и ведения Сборника принятых предварительных решений таможенных органов государств - членов таможенного союза по классификации товаров на официальном сайте Комиссии таможенного союза</w:t>
      </w:r>
      <w:r w:rsidR="002915CA">
        <w:rPr>
          <w:szCs w:val="24"/>
        </w:rPr>
        <w:t>»</w:t>
      </w:r>
      <w:r w:rsidRPr="00B84B2D">
        <w:rPr>
          <w:szCs w:val="24"/>
        </w:rPr>
        <w:t xml:space="preserve">. </w:t>
      </w:r>
    </w:p>
    <w:p w:rsidR="00B84B2D" w:rsidRDefault="00B84B2D" w:rsidP="00B84B2D">
      <w:pPr>
        <w:ind w:firstLine="709"/>
        <w:jc w:val="both"/>
        <w:rPr>
          <w:szCs w:val="24"/>
        </w:rPr>
      </w:pPr>
      <w:r w:rsidRPr="00B84B2D">
        <w:rPr>
          <w:szCs w:val="24"/>
        </w:rPr>
        <w:t xml:space="preserve">Настоящее Решение вступает в силу по истечении 30 календарных дней </w:t>
      </w:r>
      <w:proofErr w:type="gramStart"/>
      <w:r w:rsidRPr="00B84B2D">
        <w:rPr>
          <w:szCs w:val="24"/>
        </w:rPr>
        <w:t>с</w:t>
      </w:r>
      <w:proofErr w:type="gramEnd"/>
      <w:r w:rsidRPr="00B84B2D">
        <w:rPr>
          <w:szCs w:val="24"/>
        </w:rPr>
        <w:t xml:space="preserve"> даты его официального опубликования, но не ранее даты вступления в силу распоряжения Коллегии Евразийской экономической комиссии, предусматривающего введение в действие общего процесса </w:t>
      </w:r>
      <w:r w:rsidR="002915CA">
        <w:rPr>
          <w:szCs w:val="24"/>
        </w:rPr>
        <w:t>«</w:t>
      </w:r>
      <w:r w:rsidRPr="00B84B2D">
        <w:rPr>
          <w:szCs w:val="24"/>
        </w:rPr>
        <w:t>Формирование сборника принятых предварительных решений таможенных органов государств - членов Евразийского экономического союза по классификации товаров</w:t>
      </w:r>
      <w:r w:rsidR="002915CA">
        <w:rPr>
          <w:szCs w:val="24"/>
        </w:rPr>
        <w:t>»</w:t>
      </w:r>
      <w:r w:rsidRPr="00B84B2D">
        <w:rPr>
          <w:szCs w:val="24"/>
        </w:rPr>
        <w:t xml:space="preserve">. </w:t>
      </w:r>
    </w:p>
    <w:p w:rsidR="002044BE" w:rsidRDefault="002044BE" w:rsidP="00B84B2D">
      <w:pPr>
        <w:ind w:firstLine="709"/>
        <w:jc w:val="both"/>
        <w:rPr>
          <w:szCs w:val="24"/>
        </w:rPr>
      </w:pPr>
    </w:p>
    <w:p w:rsidR="002044BE" w:rsidRDefault="002044BE" w:rsidP="002044BE">
      <w:pPr>
        <w:rPr>
          <w:b/>
          <w:szCs w:val="24"/>
        </w:rPr>
      </w:pPr>
    </w:p>
    <w:p w:rsidR="002044BE" w:rsidRPr="002044BE" w:rsidRDefault="002044BE" w:rsidP="002044BE">
      <w:pPr>
        <w:rPr>
          <w:b/>
          <w:szCs w:val="24"/>
        </w:rPr>
      </w:pPr>
      <w:r w:rsidRPr="002044BE">
        <w:rPr>
          <w:b/>
          <w:szCs w:val="24"/>
        </w:rPr>
        <w:t>12.12.2022</w:t>
      </w:r>
    </w:p>
    <w:p w:rsidR="00B84B2D" w:rsidRPr="00B84B2D" w:rsidRDefault="00B84B2D" w:rsidP="002915CA">
      <w:pPr>
        <w:spacing w:line="240" w:lineRule="exact"/>
        <w:jc w:val="both"/>
        <w:rPr>
          <w:sz w:val="24"/>
          <w:szCs w:val="24"/>
        </w:rPr>
      </w:pPr>
    </w:p>
    <w:p w:rsidR="00BE6A1A" w:rsidRPr="00CF74FB" w:rsidRDefault="00BE6A1A" w:rsidP="00CF74FB">
      <w:pPr>
        <w:spacing w:line="240" w:lineRule="exact"/>
        <w:ind w:right="-1"/>
        <w:jc w:val="both"/>
        <w:rPr>
          <w:sz w:val="20"/>
        </w:rPr>
      </w:pPr>
    </w:p>
    <w:sectPr w:rsidR="00BE6A1A" w:rsidRPr="00CF74FB" w:rsidSect="0043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C6"/>
    <w:rsid w:val="001434C6"/>
    <w:rsid w:val="002044BE"/>
    <w:rsid w:val="002915CA"/>
    <w:rsid w:val="00433DEA"/>
    <w:rsid w:val="00AF25FA"/>
    <w:rsid w:val="00B84B2D"/>
    <w:rsid w:val="00BE6A1A"/>
    <w:rsid w:val="00C719DC"/>
    <w:rsid w:val="00CF74FB"/>
    <w:rsid w:val="00CF771C"/>
    <w:rsid w:val="00ED5387"/>
    <w:rsid w:val="00F5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 Павел Сергеевич</dc:creator>
  <cp:lastModifiedBy>vladt</cp:lastModifiedBy>
  <cp:revision>3</cp:revision>
  <dcterms:created xsi:type="dcterms:W3CDTF">2022-12-13T12:25:00Z</dcterms:created>
  <dcterms:modified xsi:type="dcterms:W3CDTF">2022-12-13T12:25:00Z</dcterms:modified>
</cp:coreProperties>
</file>